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8D6448" w14:textId="5699BB35" w:rsidR="006D4999" w:rsidRPr="00BB16E3" w:rsidRDefault="00BB16E3" w:rsidP="00BB16E3">
      <w:pPr>
        <w:pStyle w:val="Heading1"/>
        <w:adjustRightInd w:val="0"/>
        <w:snapToGrid w:val="0"/>
        <w:spacing w:before="0" w:line="240" w:lineRule="auto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cs-CZ"/>
        </w:rPr>
      </w:pPr>
      <w:r w:rsidRPr="00BB16E3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cs-CZ"/>
        </w:rPr>
        <w:t xml:space="preserve">Klinické výsledky a QI pro NIP </w:t>
      </w:r>
    </w:p>
    <w:p w14:paraId="43A25C0C" w14:textId="77777777" w:rsidR="00BB16E3" w:rsidRPr="00BB16E3" w:rsidRDefault="00BB16E3" w:rsidP="00BB16E3">
      <w:pPr>
        <w:pStyle w:val="Heading2"/>
        <w:adjustRightInd w:val="0"/>
        <w:snapToGrid w:val="0"/>
        <w:spacing w:before="0" w:line="240" w:lineRule="auto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cs-CZ"/>
        </w:rPr>
      </w:pPr>
    </w:p>
    <w:p w14:paraId="38C1DB1B" w14:textId="2452D95A" w:rsidR="006D4999" w:rsidRPr="00BB16E3" w:rsidRDefault="00BB16E3" w:rsidP="00BB16E3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BB16E3">
        <w:rPr>
          <w:rFonts w:ascii="Times New Roman" w:hAnsi="Times New Roman" w:cs="Times New Roman"/>
          <w:sz w:val="24"/>
          <w:szCs w:val="24"/>
          <w:lang w:val="cs-CZ"/>
        </w:rPr>
        <w:t xml:space="preserve">NIP </w:t>
      </w:r>
      <w:r w:rsidR="00000000" w:rsidRPr="00BB16E3">
        <w:rPr>
          <w:rFonts w:ascii="Times New Roman" w:hAnsi="Times New Roman" w:cs="Times New Roman"/>
          <w:sz w:val="24"/>
          <w:szCs w:val="24"/>
          <w:lang w:val="cs-CZ"/>
        </w:rPr>
        <w:t xml:space="preserve">je specifickým typem následné péče zaměřeným na pacienty s protrahovanou závislostí na </w:t>
      </w:r>
      <w:r w:rsidR="00592BF8">
        <w:rPr>
          <w:rFonts w:ascii="Times New Roman" w:hAnsi="Times New Roman" w:cs="Times New Roman"/>
          <w:sz w:val="24"/>
          <w:szCs w:val="24"/>
          <w:lang w:val="cs-CZ"/>
        </w:rPr>
        <w:t xml:space="preserve">plné nebo částečné přístrojové podpoře dýchání, kde je </w:t>
      </w:r>
      <w:r w:rsidR="00000000" w:rsidRPr="00BB16E3">
        <w:rPr>
          <w:rFonts w:ascii="Times New Roman" w:hAnsi="Times New Roman" w:cs="Times New Roman"/>
          <w:sz w:val="24"/>
          <w:szCs w:val="24"/>
          <w:lang w:val="cs-CZ"/>
        </w:rPr>
        <w:t>primárním terapeutickým cílem úspěšné odpojení od invazivní ventilace (weaning). Mezinárodní data ukazují, že specializovaná weaning centra dosahují 60–</w:t>
      </w:r>
      <w:r w:rsidRPr="00BB16E3">
        <w:rPr>
          <w:rFonts w:ascii="Times New Roman" w:hAnsi="Times New Roman" w:cs="Times New Roman"/>
          <w:sz w:val="24"/>
          <w:szCs w:val="24"/>
          <w:lang w:val="cs-CZ"/>
        </w:rPr>
        <w:t>70 %</w:t>
      </w:r>
      <w:r w:rsidR="00000000" w:rsidRPr="00BB16E3">
        <w:rPr>
          <w:rFonts w:ascii="Times New Roman" w:hAnsi="Times New Roman" w:cs="Times New Roman"/>
          <w:sz w:val="24"/>
          <w:szCs w:val="24"/>
          <w:lang w:val="cs-CZ"/>
        </w:rPr>
        <w:t xml:space="preserve"> úspěšného odpojení od ventilační podpory u správně indikovaných pacientů.</w:t>
      </w:r>
    </w:p>
    <w:p w14:paraId="39935323" w14:textId="77777777" w:rsidR="00BB16E3" w:rsidRPr="00BB16E3" w:rsidRDefault="00BB16E3" w:rsidP="00BB16E3">
      <w:pPr>
        <w:pStyle w:val="Heading2"/>
        <w:adjustRightInd w:val="0"/>
        <w:snapToGrid w:val="0"/>
        <w:spacing w:before="0" w:line="240" w:lineRule="auto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cs-CZ"/>
        </w:rPr>
      </w:pPr>
    </w:p>
    <w:p w14:paraId="42797351" w14:textId="77777777" w:rsidR="00BB16E3" w:rsidRPr="00BB16E3" w:rsidRDefault="00BB16E3" w:rsidP="00BB16E3">
      <w:pPr>
        <w:pStyle w:val="Heading2"/>
        <w:adjustRightInd w:val="0"/>
        <w:snapToGrid w:val="0"/>
        <w:spacing w:before="0" w:line="240" w:lineRule="auto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cs-CZ"/>
        </w:rPr>
      </w:pPr>
      <w:r w:rsidRPr="00BB16E3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cs-CZ"/>
        </w:rPr>
        <w:t>Souhrn evidence</w:t>
      </w:r>
    </w:p>
    <w:p w14:paraId="04C0BD47" w14:textId="711D6681" w:rsidR="006D4999" w:rsidRPr="00BB16E3" w:rsidRDefault="00000000" w:rsidP="00BB16E3">
      <w:pPr>
        <w:pStyle w:val="ListParagraph"/>
        <w:numPr>
          <w:ilvl w:val="0"/>
          <w:numId w:val="12"/>
        </w:numPr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BB16E3">
        <w:rPr>
          <w:rFonts w:ascii="Times New Roman" w:hAnsi="Times New Roman" w:cs="Times New Roman"/>
          <w:sz w:val="24"/>
          <w:szCs w:val="24"/>
          <w:lang w:val="cs-CZ"/>
        </w:rPr>
        <w:t xml:space="preserve">WeanNet registry (Německo): 62–73 % úspěšný weaning, mortalita ~10–15 %. </w:t>
      </w:r>
    </w:p>
    <w:p w14:paraId="712A0B5B" w14:textId="37E2ABC1" w:rsidR="006D4999" w:rsidRPr="00BB16E3" w:rsidRDefault="00000000" w:rsidP="00BB16E3">
      <w:pPr>
        <w:pStyle w:val="ListParagraph"/>
        <w:numPr>
          <w:ilvl w:val="0"/>
          <w:numId w:val="12"/>
        </w:numPr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BB16E3">
        <w:rPr>
          <w:rFonts w:ascii="Times New Roman" w:hAnsi="Times New Roman" w:cs="Times New Roman"/>
          <w:sz w:val="24"/>
          <w:szCs w:val="24"/>
          <w:lang w:val="cs-CZ"/>
        </w:rPr>
        <w:t>Heidelberg Weaning Centre 2025: 73,2 % úspěšné odpojení, 6,6 % mortalita.</w:t>
      </w:r>
    </w:p>
    <w:p w14:paraId="75029598" w14:textId="7E84B2A7" w:rsidR="006D4999" w:rsidRPr="00BB16E3" w:rsidRDefault="00000000" w:rsidP="00BB16E3">
      <w:pPr>
        <w:pStyle w:val="ListParagraph"/>
        <w:numPr>
          <w:ilvl w:val="0"/>
          <w:numId w:val="12"/>
        </w:numPr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BB16E3">
        <w:rPr>
          <w:rFonts w:ascii="Times New Roman" w:hAnsi="Times New Roman" w:cs="Times New Roman"/>
          <w:sz w:val="24"/>
          <w:szCs w:val="24"/>
          <w:lang w:val="cs-CZ"/>
        </w:rPr>
        <w:t>Windisch multicenter data: ~64 % liberation rate, 14–15 % mortalita.</w:t>
      </w:r>
    </w:p>
    <w:p w14:paraId="7F31EBDD" w14:textId="638C85A7" w:rsidR="006D4999" w:rsidRPr="00BB16E3" w:rsidRDefault="00000000" w:rsidP="00BB16E3">
      <w:pPr>
        <w:pStyle w:val="ListParagraph"/>
        <w:numPr>
          <w:ilvl w:val="0"/>
          <w:numId w:val="12"/>
        </w:numPr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BB16E3">
        <w:rPr>
          <w:rFonts w:ascii="Times New Roman" w:hAnsi="Times New Roman" w:cs="Times New Roman"/>
          <w:sz w:val="24"/>
          <w:szCs w:val="24"/>
          <w:lang w:val="cs-CZ"/>
        </w:rPr>
        <w:t>LTACH USA (Jubran et al.): 53,7 % successful liberation, roční přežití 66,9 %.</w:t>
      </w:r>
    </w:p>
    <w:p w14:paraId="5D963B07" w14:textId="77777777" w:rsidR="00BB16E3" w:rsidRPr="00BB16E3" w:rsidRDefault="00BB16E3" w:rsidP="00BB16E3">
      <w:pPr>
        <w:pStyle w:val="Heading2"/>
        <w:adjustRightInd w:val="0"/>
        <w:snapToGrid w:val="0"/>
        <w:spacing w:before="0" w:line="240" w:lineRule="auto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cs-CZ"/>
        </w:rPr>
      </w:pPr>
    </w:p>
    <w:p w14:paraId="07CFBF8D" w14:textId="77777777" w:rsidR="00BB16E3" w:rsidRPr="00BB16E3" w:rsidRDefault="00BB16E3" w:rsidP="00BB16E3">
      <w:pPr>
        <w:pStyle w:val="Heading2"/>
        <w:adjustRightInd w:val="0"/>
        <w:snapToGrid w:val="0"/>
        <w:spacing w:before="0" w:line="240" w:lineRule="auto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cs-CZ"/>
        </w:rPr>
      </w:pPr>
      <w:r w:rsidRPr="00BB16E3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cs-CZ"/>
        </w:rPr>
        <w:t>QI</w:t>
      </w:r>
    </w:p>
    <w:p w14:paraId="61D9AC96" w14:textId="77777777" w:rsidR="006D4999" w:rsidRPr="00BB16E3" w:rsidRDefault="00000000" w:rsidP="00BB16E3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BB16E3">
        <w:rPr>
          <w:rFonts w:ascii="Times New Roman" w:hAnsi="Times New Roman" w:cs="Times New Roman"/>
          <w:sz w:val="24"/>
          <w:szCs w:val="24"/>
          <w:lang w:val="cs-CZ"/>
        </w:rPr>
        <w:t>Definování indikátorů kvality umožňuje hodnotit klinickou efektivitu programů NIP, posiluje odbornou standardizaci a poskytuje plátcům zdravotní péče transparentní, auditovatelné výstupy. Indikátory navržené v tomto dokumentu jsou v souladu s mezinárodní praxí a přímo reflektují hlavní terapeutický cíl NIP – úspěšné odpojení pacientů od ventilace.</w:t>
      </w:r>
    </w:p>
    <w:p w14:paraId="009C0D99" w14:textId="77777777" w:rsidR="00BB16E3" w:rsidRPr="00BB16E3" w:rsidRDefault="00BB16E3" w:rsidP="00BB16E3">
      <w:pPr>
        <w:pStyle w:val="Heading2"/>
        <w:adjustRightInd w:val="0"/>
        <w:snapToGrid w:val="0"/>
        <w:spacing w:before="0" w:line="240" w:lineRule="auto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cs-CZ"/>
        </w:rPr>
      </w:pPr>
    </w:p>
    <w:p w14:paraId="76BED8CC" w14:textId="4EA55FC0" w:rsidR="006D4999" w:rsidRPr="00BB16E3" w:rsidRDefault="00BB16E3" w:rsidP="00BB16E3">
      <w:pPr>
        <w:pStyle w:val="Heading2"/>
        <w:adjustRightInd w:val="0"/>
        <w:snapToGrid w:val="0"/>
        <w:spacing w:before="0" w:line="240" w:lineRule="auto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cs-CZ"/>
        </w:rPr>
      </w:pPr>
      <w:r w:rsidRPr="00BB16E3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cs-CZ"/>
        </w:rPr>
        <w:t xml:space="preserve">Navrhované QI pro NIP v ČR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551"/>
        <w:gridCol w:w="1843"/>
        <w:gridCol w:w="1843"/>
      </w:tblGrid>
      <w:tr w:rsidR="00BB16E3" w:rsidRPr="00BB16E3" w14:paraId="20AD195F" w14:textId="77777777" w:rsidTr="00BB16E3">
        <w:tc>
          <w:tcPr>
            <w:tcW w:w="2093" w:type="dxa"/>
          </w:tcPr>
          <w:p w14:paraId="128FEFF1" w14:textId="77777777" w:rsidR="00BB16E3" w:rsidRPr="00BB16E3" w:rsidRDefault="00BB16E3" w:rsidP="00BB16E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BB16E3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Indikátor</w:t>
            </w:r>
          </w:p>
        </w:tc>
        <w:tc>
          <w:tcPr>
            <w:tcW w:w="2551" w:type="dxa"/>
          </w:tcPr>
          <w:p w14:paraId="36F49E55" w14:textId="77777777" w:rsidR="00BB16E3" w:rsidRPr="00BB16E3" w:rsidRDefault="00BB16E3" w:rsidP="00BB16E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BB16E3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Definice</w:t>
            </w:r>
          </w:p>
        </w:tc>
        <w:tc>
          <w:tcPr>
            <w:tcW w:w="1843" w:type="dxa"/>
          </w:tcPr>
          <w:p w14:paraId="605411AE" w14:textId="77777777" w:rsidR="00BB16E3" w:rsidRPr="00BB16E3" w:rsidRDefault="00BB16E3" w:rsidP="00BB16E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BB16E3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Cílová hodnota</w:t>
            </w:r>
          </w:p>
        </w:tc>
        <w:tc>
          <w:tcPr>
            <w:tcW w:w="1843" w:type="dxa"/>
          </w:tcPr>
          <w:p w14:paraId="14371854" w14:textId="77777777" w:rsidR="00BB16E3" w:rsidRPr="00BB16E3" w:rsidRDefault="00BB16E3" w:rsidP="00BB16E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BB16E3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Odůvodnění</w:t>
            </w:r>
          </w:p>
        </w:tc>
      </w:tr>
      <w:tr w:rsidR="00BB16E3" w:rsidRPr="00BB16E3" w14:paraId="6096CA3D" w14:textId="77777777" w:rsidTr="00BB16E3">
        <w:tc>
          <w:tcPr>
            <w:tcW w:w="2093" w:type="dxa"/>
          </w:tcPr>
          <w:p w14:paraId="2BB31699" w14:textId="77777777" w:rsidR="00BB16E3" w:rsidRPr="00BB16E3" w:rsidRDefault="00BB16E3" w:rsidP="00BB16E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BB16E3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Úspěšný weaning</w:t>
            </w:r>
          </w:p>
        </w:tc>
        <w:tc>
          <w:tcPr>
            <w:tcW w:w="2551" w:type="dxa"/>
          </w:tcPr>
          <w:p w14:paraId="1076B132" w14:textId="77777777" w:rsidR="00BB16E3" w:rsidRPr="00BB16E3" w:rsidRDefault="00BB16E3" w:rsidP="00BB16E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BB16E3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Podíl pacientů propuštěných z NIP bez invazivní ventilace.</w:t>
            </w:r>
          </w:p>
        </w:tc>
        <w:tc>
          <w:tcPr>
            <w:tcW w:w="1843" w:type="dxa"/>
          </w:tcPr>
          <w:p w14:paraId="0C269C32" w14:textId="77777777" w:rsidR="00BB16E3" w:rsidRPr="00BB16E3" w:rsidRDefault="00BB16E3" w:rsidP="00BB16E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BB16E3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Cíl: 60–70 % (min. 50 %)</w:t>
            </w:r>
          </w:p>
        </w:tc>
        <w:tc>
          <w:tcPr>
            <w:tcW w:w="1843" w:type="dxa"/>
          </w:tcPr>
          <w:p w14:paraId="4042DFF6" w14:textId="77777777" w:rsidR="00BB16E3" w:rsidRPr="00BB16E3" w:rsidRDefault="00BB16E3" w:rsidP="00BB16E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BB16E3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Hlavní outcome NIP s mezinárodním benchmarkem.</w:t>
            </w:r>
          </w:p>
        </w:tc>
      </w:tr>
      <w:tr w:rsidR="00BB16E3" w:rsidRPr="00BB16E3" w14:paraId="69B1FF45" w14:textId="77777777" w:rsidTr="00BB16E3">
        <w:tc>
          <w:tcPr>
            <w:tcW w:w="2093" w:type="dxa"/>
          </w:tcPr>
          <w:p w14:paraId="205E5C4D" w14:textId="77777777" w:rsidR="00BB16E3" w:rsidRPr="00BB16E3" w:rsidRDefault="00BB16E3" w:rsidP="00BB16E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BB16E3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Přechod do NVP</w:t>
            </w:r>
          </w:p>
        </w:tc>
        <w:tc>
          <w:tcPr>
            <w:tcW w:w="2551" w:type="dxa"/>
          </w:tcPr>
          <w:p w14:paraId="5F07B07D" w14:textId="5977222C" w:rsidR="00BB16E3" w:rsidRPr="00BB16E3" w:rsidRDefault="00BB16E3" w:rsidP="00BB16E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BB16E3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Pacienti, kteří </w:t>
            </w:r>
            <w:r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po opakovaných pokusech o </w:t>
            </w:r>
            <w:r w:rsidRPr="00BB16E3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weaning zůstávají na dlouhodobé </w:t>
            </w:r>
            <w:r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přístrojové plné nebo částečné podpoře ventilace</w:t>
            </w:r>
          </w:p>
        </w:tc>
        <w:tc>
          <w:tcPr>
            <w:tcW w:w="1843" w:type="dxa"/>
          </w:tcPr>
          <w:p w14:paraId="449A60E4" w14:textId="77777777" w:rsidR="00BB16E3" w:rsidRPr="00BB16E3" w:rsidRDefault="00BB16E3" w:rsidP="00BB16E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BB16E3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Cíl: 15–25 %</w:t>
            </w:r>
          </w:p>
        </w:tc>
        <w:tc>
          <w:tcPr>
            <w:tcW w:w="1843" w:type="dxa"/>
          </w:tcPr>
          <w:p w14:paraId="7183D5E7" w14:textId="77777777" w:rsidR="00BB16E3" w:rsidRPr="00BB16E3" w:rsidRDefault="00BB16E3" w:rsidP="00BB16E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BB16E3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Očekávaná proporce ve weaning populaci.</w:t>
            </w:r>
          </w:p>
        </w:tc>
      </w:tr>
      <w:tr w:rsidR="00BB16E3" w:rsidRPr="00BB16E3" w14:paraId="103E32C9" w14:textId="77777777" w:rsidTr="00BB16E3">
        <w:tc>
          <w:tcPr>
            <w:tcW w:w="2093" w:type="dxa"/>
          </w:tcPr>
          <w:p w14:paraId="0AFBA5D3" w14:textId="77777777" w:rsidR="00BB16E3" w:rsidRPr="00BB16E3" w:rsidRDefault="00BB16E3" w:rsidP="00BB16E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BB16E3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Dokumentace neurologické prognózy</w:t>
            </w:r>
          </w:p>
        </w:tc>
        <w:tc>
          <w:tcPr>
            <w:tcW w:w="2551" w:type="dxa"/>
          </w:tcPr>
          <w:p w14:paraId="73154154" w14:textId="77777777" w:rsidR="00BB16E3" w:rsidRPr="00BB16E3" w:rsidRDefault="00BB16E3" w:rsidP="00BB16E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BB16E3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Zda má pacient při přijetí a revizi dokumentovanou prognózu.</w:t>
            </w:r>
          </w:p>
        </w:tc>
        <w:tc>
          <w:tcPr>
            <w:tcW w:w="1843" w:type="dxa"/>
          </w:tcPr>
          <w:p w14:paraId="481AB168" w14:textId="77777777" w:rsidR="00BB16E3" w:rsidRPr="00BB16E3" w:rsidRDefault="00BB16E3" w:rsidP="00BB16E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BB16E3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Cíl: 100 %</w:t>
            </w:r>
          </w:p>
        </w:tc>
        <w:tc>
          <w:tcPr>
            <w:tcW w:w="1843" w:type="dxa"/>
          </w:tcPr>
          <w:p w14:paraId="4314CE61" w14:textId="77777777" w:rsidR="00BB16E3" w:rsidRPr="00BB16E3" w:rsidRDefault="00BB16E3" w:rsidP="00BB16E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BB16E3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Klíčové pro správnou indikaci.</w:t>
            </w:r>
          </w:p>
        </w:tc>
      </w:tr>
    </w:tbl>
    <w:p w14:paraId="5A8BC4A3" w14:textId="77777777" w:rsidR="00BB16E3" w:rsidRPr="00BB16E3" w:rsidRDefault="00BB16E3" w:rsidP="00BB16E3">
      <w:pPr>
        <w:pStyle w:val="Heading2"/>
        <w:adjustRightInd w:val="0"/>
        <w:snapToGrid w:val="0"/>
        <w:spacing w:before="0" w:line="240" w:lineRule="auto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cs-CZ"/>
        </w:rPr>
      </w:pPr>
    </w:p>
    <w:p w14:paraId="7F834A81" w14:textId="389F83B0" w:rsidR="006D4999" w:rsidRPr="00BB16E3" w:rsidRDefault="00000000" w:rsidP="00BB16E3">
      <w:pPr>
        <w:pStyle w:val="Heading2"/>
        <w:adjustRightInd w:val="0"/>
        <w:snapToGrid w:val="0"/>
        <w:spacing w:before="0" w:line="240" w:lineRule="auto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cs-CZ"/>
        </w:rPr>
      </w:pPr>
      <w:r w:rsidRPr="00BB16E3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cs-CZ"/>
        </w:rPr>
        <w:t>Závěr</w:t>
      </w:r>
    </w:p>
    <w:p w14:paraId="2906DB7F" w14:textId="7249658D" w:rsidR="006D4999" w:rsidRPr="00BB16E3" w:rsidRDefault="00000000" w:rsidP="00BB16E3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BB16E3">
        <w:rPr>
          <w:rFonts w:ascii="Times New Roman" w:hAnsi="Times New Roman" w:cs="Times New Roman"/>
          <w:sz w:val="24"/>
          <w:szCs w:val="24"/>
          <w:lang w:val="cs-CZ"/>
        </w:rPr>
        <w:t>V dobře fungujícím NIP programu očekáváme, že alespoň 50 %</w:t>
      </w:r>
      <w:r w:rsidR="00BB16E3" w:rsidRPr="00BB16E3">
        <w:rPr>
          <w:rFonts w:ascii="Times New Roman" w:hAnsi="Times New Roman" w:cs="Times New Roman"/>
          <w:sz w:val="24"/>
          <w:szCs w:val="24"/>
          <w:lang w:val="cs-CZ"/>
        </w:rPr>
        <w:t xml:space="preserve"> správně indikovaných pacientů </w:t>
      </w:r>
      <w:r w:rsidRPr="00BB16E3">
        <w:rPr>
          <w:rFonts w:ascii="Times New Roman" w:hAnsi="Times New Roman" w:cs="Times New Roman"/>
          <w:sz w:val="24"/>
          <w:szCs w:val="24"/>
          <w:lang w:val="cs-CZ"/>
        </w:rPr>
        <w:t>bude při propuštění z NIP bez invazivní ventilace</w:t>
      </w:r>
      <w:r w:rsidR="00BB16E3" w:rsidRPr="00BB16E3">
        <w:rPr>
          <w:rFonts w:ascii="Times New Roman" w:hAnsi="Times New Roman" w:cs="Times New Roman"/>
          <w:sz w:val="24"/>
          <w:szCs w:val="24"/>
          <w:lang w:val="cs-CZ"/>
        </w:rPr>
        <w:t xml:space="preserve">. Tento KPI je klinicky srozumitelný, motivující, </w:t>
      </w:r>
      <w:r w:rsidRPr="00BB16E3">
        <w:rPr>
          <w:rFonts w:ascii="Times New Roman" w:hAnsi="Times New Roman" w:cs="Times New Roman"/>
          <w:sz w:val="24"/>
          <w:szCs w:val="24"/>
          <w:lang w:val="cs-CZ"/>
        </w:rPr>
        <w:t>má mezinárodní benchmar</w:t>
      </w:r>
      <w:r w:rsidR="00BB16E3" w:rsidRPr="00BB16E3">
        <w:rPr>
          <w:rFonts w:ascii="Times New Roman" w:hAnsi="Times New Roman" w:cs="Times New Roman"/>
          <w:sz w:val="24"/>
          <w:szCs w:val="24"/>
          <w:lang w:val="cs-CZ"/>
        </w:rPr>
        <w:t>k a</w:t>
      </w:r>
      <w:r w:rsidRPr="00BB16E3">
        <w:rPr>
          <w:rFonts w:ascii="Times New Roman" w:hAnsi="Times New Roman" w:cs="Times New Roman"/>
          <w:sz w:val="24"/>
          <w:szCs w:val="24"/>
          <w:lang w:val="cs-CZ"/>
        </w:rPr>
        <w:t xml:space="preserve"> je přímo spojený s hlavním cílem NIP (weaning, nikoli jen </w:t>
      </w:r>
      <w:r w:rsidR="00BB16E3" w:rsidRPr="00BB16E3">
        <w:rPr>
          <w:rFonts w:ascii="Times New Roman" w:hAnsi="Times New Roman" w:cs="Times New Roman"/>
          <w:sz w:val="24"/>
          <w:szCs w:val="24"/>
          <w:lang w:val="cs-CZ"/>
        </w:rPr>
        <w:t>“</w:t>
      </w:r>
      <w:r w:rsidRPr="00BB16E3">
        <w:rPr>
          <w:rFonts w:ascii="Times New Roman" w:hAnsi="Times New Roman" w:cs="Times New Roman"/>
          <w:sz w:val="24"/>
          <w:szCs w:val="24"/>
          <w:lang w:val="cs-CZ"/>
        </w:rPr>
        <w:t>přežívání</w:t>
      </w:r>
      <w:r w:rsidR="00BB16E3" w:rsidRPr="00BB16E3">
        <w:rPr>
          <w:rFonts w:ascii="Times New Roman" w:hAnsi="Times New Roman" w:cs="Times New Roman"/>
          <w:sz w:val="24"/>
          <w:szCs w:val="24"/>
          <w:lang w:val="cs-CZ"/>
        </w:rPr>
        <w:t xml:space="preserve">” </w:t>
      </w:r>
      <w:r w:rsidRPr="00BB16E3">
        <w:rPr>
          <w:rFonts w:ascii="Times New Roman" w:hAnsi="Times New Roman" w:cs="Times New Roman"/>
          <w:sz w:val="24"/>
          <w:szCs w:val="24"/>
          <w:lang w:val="cs-CZ"/>
        </w:rPr>
        <w:t>na ventilátoru).</w:t>
      </w:r>
    </w:p>
    <w:sectPr w:rsidR="006D4999" w:rsidRPr="00BB16E3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144117"/>
    <w:multiLevelType w:val="hybridMultilevel"/>
    <w:tmpl w:val="C91CF2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ED63318"/>
    <w:multiLevelType w:val="hybridMultilevel"/>
    <w:tmpl w:val="B706EE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C17736"/>
    <w:multiLevelType w:val="hybridMultilevel"/>
    <w:tmpl w:val="0972D0EC"/>
    <w:lvl w:ilvl="0" w:tplc="FB3CCD42">
      <w:start w:val="6"/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77849337">
    <w:abstractNumId w:val="8"/>
  </w:num>
  <w:num w:numId="2" w16cid:durableId="244802248">
    <w:abstractNumId w:val="6"/>
  </w:num>
  <w:num w:numId="3" w16cid:durableId="1764110739">
    <w:abstractNumId w:val="5"/>
  </w:num>
  <w:num w:numId="4" w16cid:durableId="1556426471">
    <w:abstractNumId w:val="4"/>
  </w:num>
  <w:num w:numId="5" w16cid:durableId="82605241">
    <w:abstractNumId w:val="7"/>
  </w:num>
  <w:num w:numId="6" w16cid:durableId="580531740">
    <w:abstractNumId w:val="3"/>
  </w:num>
  <w:num w:numId="7" w16cid:durableId="1003120024">
    <w:abstractNumId w:val="2"/>
  </w:num>
  <w:num w:numId="8" w16cid:durableId="1577520955">
    <w:abstractNumId w:val="1"/>
  </w:num>
  <w:num w:numId="9" w16cid:durableId="1552499278">
    <w:abstractNumId w:val="0"/>
  </w:num>
  <w:num w:numId="10" w16cid:durableId="2075622542">
    <w:abstractNumId w:val="10"/>
  </w:num>
  <w:num w:numId="11" w16cid:durableId="1359309734">
    <w:abstractNumId w:val="11"/>
  </w:num>
  <w:num w:numId="12" w16cid:durableId="154678989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2273A"/>
    <w:rsid w:val="0015074B"/>
    <w:rsid w:val="001E217A"/>
    <w:rsid w:val="0029639D"/>
    <w:rsid w:val="00326F90"/>
    <w:rsid w:val="00592BF8"/>
    <w:rsid w:val="006D4999"/>
    <w:rsid w:val="00AA1D8D"/>
    <w:rsid w:val="00B47730"/>
    <w:rsid w:val="00BB16E3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5939597F"/>
  <w14:defaultImageDpi w14:val="300"/>
  <w15:docId w15:val="{2051F47C-DC61-0440-9F2E-E53946E2B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u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urfulShading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urfulList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urfulList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urfulList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urfulList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urfulList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urfulList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u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urfulGrid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urfulGrid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urfulGrid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urfulGrid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urfulGrid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urfulGrid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Černý, Vladimír</cp:lastModifiedBy>
  <cp:revision>3</cp:revision>
  <dcterms:created xsi:type="dcterms:W3CDTF">2025-12-07T21:01:00Z</dcterms:created>
  <dcterms:modified xsi:type="dcterms:W3CDTF">2025-12-07T21:03:00Z</dcterms:modified>
  <cp:category/>
</cp:coreProperties>
</file>